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DA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right="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</w:rPr>
        <w:t>附</w:t>
      </w:r>
      <w:r>
        <w:rPr>
          <w:rFonts w:hint="eastAsia" w:ascii="仿宋" w:hAnsi="仿宋" w:eastAsia="仿宋" w:cs="仿宋"/>
          <w:b w:val="0"/>
          <w:bCs w:val="0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</w:rPr>
        <w:t>件</w:t>
      </w:r>
      <w:r>
        <w:rPr>
          <w:rFonts w:hint="eastAsia" w:ascii="仿宋" w:hAnsi="仿宋" w:eastAsia="仿宋" w:cs="仿宋"/>
          <w:b w:val="0"/>
          <w:bCs w:val="0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6"/>
          <w:sz w:val="32"/>
          <w:szCs w:val="32"/>
          <w:lang w:val="en-US" w:eastAsia="zh-CN"/>
        </w:rPr>
        <w:t>1</w:t>
      </w:r>
    </w:p>
    <w:p w14:paraId="715FA6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</w:p>
    <w:p w14:paraId="6D45B9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-1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</w:rPr>
        <w:t>2025年广东药科大学职业技能等级认定</w:t>
      </w:r>
    </w:p>
    <w:p w14:paraId="14657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right="0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1"/>
          <w:sz w:val="44"/>
          <w:szCs w:val="44"/>
        </w:rPr>
        <w:t>申报条件</w:t>
      </w:r>
    </w:p>
    <w:p w14:paraId="17584B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根据《国家职业标准编制技术规程2023年版)》申报条件执行(粤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技服〔2023〕51号)</w:t>
      </w:r>
    </w:p>
    <w:p w14:paraId="21F769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19" w:firstLineChars="200"/>
        <w:textAlignment w:val="baseline"/>
        <w:outlineLvl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1.具备以下条件之一者，可申报四级/中级工：</w:t>
      </w:r>
    </w:p>
    <w:p w14:paraId="3B0CA5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(1)累计从事本职业或相关职业工作满5年。</w:t>
      </w:r>
    </w:p>
    <w:p w14:paraId="46766A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(2)取得本职业或相关职业五级/初级工职业资格(职业技能等级)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证书后，累计从事本职业或相关职业工作满3年。</w:t>
      </w:r>
    </w:p>
    <w:p w14:paraId="1994D8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(3)取得本专业或相关专业的技工院校或中等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及以上职业院校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专科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及以上普通高等学校毕业证书(含在读应届毕业生)。</w:t>
      </w:r>
    </w:p>
    <w:p w14:paraId="6F29C9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31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2.具备以下条件之一者，可申报三级/高级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工：</w:t>
      </w:r>
    </w:p>
    <w:p w14:paraId="4B5EDA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8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(1)累计从事本职业或相关职业工作满10年。</w:t>
      </w:r>
    </w:p>
    <w:p w14:paraId="54EDD6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(2)取得本职业或相关职业四级/中级工职业资格(职业技能等级)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证书后，累计从事本职业或相关职业工作满4年。</w:t>
      </w:r>
    </w:p>
    <w:p w14:paraId="771938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48" w:firstLineChars="200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(3)取得符合专业对应关系的初级职称(专业技术人员职业资格)后，累计从事本职业或相关职业工作满1年。</w:t>
      </w:r>
    </w:p>
    <w:p w14:paraId="03DFF2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5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(4)取得本专业或相关专业的技工院校高级工班及以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上毕业证书(含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在读应届毕业生)。</w:t>
      </w:r>
    </w:p>
    <w:p w14:paraId="710050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72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(5)取得本职业或相关职业四级/中级工职业资格(职业技能等级)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证书，并取得高等职业学校、专科及以上普通高等学校本专业或相关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专业毕业证书(含在读应届毕业生)。</w:t>
      </w:r>
    </w:p>
    <w:p w14:paraId="358018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0" w:leftChars="0" w:right="0" w:firstLine="63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(6)取得经评估论证的高等职业学校、专科及以上普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通高等学校本专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业或相关专业的毕业证书(含在读应届毕业生)。</w:t>
      </w:r>
    </w:p>
    <w:p w14:paraId="3B1882A1"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2025-01-06T07:31:17Z</dcterms:created>
  <dc:creator>darkness</dc:creator>
  <cp:lastModifiedBy>Blue Sky</cp:lastModifiedBy>
  <dcterms:modified xsi:type="dcterms:W3CDTF">2025-01-06T07:31:40Z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FDA7628E08E34229B356976B0048F723_12</vt:lpwstr>
  </property>
</Properties>
</file>